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B2" w:rsidRDefault="00570DB2" w:rsidP="00570DB2">
      <w:pPr>
        <w:jc w:val="center"/>
        <w:rPr>
          <w:rFonts w:ascii="Ebrima" w:hAnsi="Ebrima"/>
          <w:b/>
          <w:sz w:val="24"/>
          <w:szCs w:val="24"/>
        </w:rPr>
      </w:pPr>
      <w:bookmarkStart w:id="0" w:name="_GoBack"/>
      <w:bookmarkEnd w:id="0"/>
      <w:r>
        <w:rPr>
          <w:rFonts w:ascii="Ebrima" w:hAnsi="Ebrima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-423545</wp:posOffset>
                </wp:positionV>
                <wp:extent cx="5619750" cy="638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0DB2" w:rsidRPr="0028521C" w:rsidRDefault="00570DB2" w:rsidP="00570DB2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28521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Protocole détaillant les modalités de délivrances de soins spécifiques, occasionnels ou réguliers.</w:t>
                            </w:r>
                          </w:p>
                          <w:p w:rsidR="00570DB2" w:rsidRDefault="00570DB2" w:rsidP="00570D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4.15pt;margin-top:-33.35pt;width:442.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" fillcolor="#e84c05 [3204]" strokecolor="#732502 [1604]" strokeweight="1pt">
                <v:textbox>
                  <w:txbxContent>
                    <w:p w:rsidR="00570DB2" w:rsidRPr="0028521C" w:rsidRDefault="00570DB2" w:rsidP="00570DB2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28521C">
                        <w:rPr>
                          <w:rFonts w:asciiTheme="majorHAnsi" w:hAnsiTheme="majorHAnsi"/>
                          <w:sz w:val="28"/>
                          <w:szCs w:val="28"/>
                        </w:rPr>
                        <w:t>Protocole détaillant les modalités de délivrances de soins spécifiques, occasionnels ou réguliers.</w:t>
                      </w:r>
                    </w:p>
                    <w:p w:rsidR="00570DB2" w:rsidRDefault="00570DB2" w:rsidP="00570D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70DB2" w:rsidRDefault="00570DB2" w:rsidP="00570DB2">
      <w:pPr>
        <w:jc w:val="center"/>
        <w:rPr>
          <w:rFonts w:ascii="Ebrima" w:hAnsi="Ebrima"/>
          <w:b/>
          <w:sz w:val="24"/>
          <w:szCs w:val="24"/>
        </w:rPr>
      </w:pPr>
    </w:p>
    <w:p w:rsidR="00570DB2" w:rsidRPr="0028521C" w:rsidRDefault="00570DB2" w:rsidP="00570DB2">
      <w:pPr>
        <w:jc w:val="center"/>
        <w:rPr>
          <w:rFonts w:ascii="Arial" w:hAnsi="Arial" w:cs="Arial"/>
          <w:b/>
          <w:sz w:val="24"/>
          <w:szCs w:val="24"/>
        </w:rPr>
      </w:pPr>
      <w:r w:rsidRPr="0028521C">
        <w:rPr>
          <w:rFonts w:ascii="Arial" w:hAnsi="Arial" w:cs="Arial"/>
          <w:b/>
          <w:sz w:val="24"/>
          <w:szCs w:val="24"/>
        </w:rPr>
        <w:t>Aucun médicament ne doit être administré sans ordonnance !</w:t>
      </w:r>
    </w:p>
    <w:p w:rsidR="00570DB2" w:rsidRPr="0028521C" w:rsidRDefault="00570DB2" w:rsidP="00570DB2">
      <w:pPr>
        <w:jc w:val="center"/>
        <w:rPr>
          <w:rFonts w:ascii="Arial" w:hAnsi="Arial" w:cs="Arial"/>
          <w:b/>
          <w:sz w:val="24"/>
          <w:szCs w:val="24"/>
        </w:rPr>
      </w:pPr>
    </w:p>
    <w:p w:rsidR="00570DB2" w:rsidRPr="0028521C" w:rsidRDefault="00570DB2" w:rsidP="00570DB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8521C">
        <w:rPr>
          <w:rFonts w:ascii="Arial" w:hAnsi="Arial" w:cs="Arial"/>
          <w:sz w:val="24"/>
          <w:szCs w:val="24"/>
        </w:rPr>
        <w:t>Tout traitement doit être débuté impérativement par les parents (risque d’effet secondaires)</w:t>
      </w:r>
    </w:p>
    <w:p w:rsidR="00570DB2" w:rsidRPr="0028521C" w:rsidRDefault="00570DB2" w:rsidP="00570DB2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521C">
        <w:rPr>
          <w:rFonts w:ascii="Arial" w:hAnsi="Arial" w:cs="Arial"/>
          <w:sz w:val="24"/>
          <w:szCs w:val="24"/>
        </w:rPr>
        <w:t>Contrôler en présence des parents les médicaments selon l’ordonnance et la bonne compréhension de l’ordonnance</w:t>
      </w:r>
    </w:p>
    <w:p w:rsidR="00570DB2" w:rsidRPr="0028521C" w:rsidRDefault="00570DB2" w:rsidP="00570DB2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521C">
        <w:rPr>
          <w:rFonts w:ascii="Arial" w:hAnsi="Arial" w:cs="Arial"/>
          <w:sz w:val="24"/>
          <w:szCs w:val="24"/>
        </w:rPr>
        <w:t>Faire une photocopie de l’ordonnance et mettre dans le dossier de l’enfant</w:t>
      </w:r>
    </w:p>
    <w:p w:rsidR="00570DB2" w:rsidRPr="0028521C" w:rsidRDefault="00570DB2" w:rsidP="00570DB2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521C">
        <w:rPr>
          <w:rFonts w:ascii="Arial" w:hAnsi="Arial" w:cs="Arial"/>
          <w:sz w:val="24"/>
          <w:szCs w:val="24"/>
        </w:rPr>
        <w:t>Mettre le traitement hors de portée des enfants</w:t>
      </w:r>
    </w:p>
    <w:p w:rsidR="00570DB2" w:rsidRPr="0028521C" w:rsidRDefault="00570DB2" w:rsidP="00570DB2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521C">
        <w:rPr>
          <w:rFonts w:ascii="Arial" w:hAnsi="Arial" w:cs="Arial"/>
          <w:sz w:val="24"/>
          <w:szCs w:val="24"/>
        </w:rPr>
        <w:t>Noter sur les transmissions de l’enfant, le traitement à donner</w:t>
      </w:r>
    </w:p>
    <w:p w:rsidR="00570DB2" w:rsidRPr="0028521C" w:rsidRDefault="00570DB2" w:rsidP="00570DB2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521C">
        <w:rPr>
          <w:rFonts w:ascii="Arial" w:hAnsi="Arial" w:cs="Arial"/>
          <w:sz w:val="24"/>
          <w:szCs w:val="24"/>
        </w:rPr>
        <w:t>Donner le traitement de préférence avant les repas</w:t>
      </w:r>
    </w:p>
    <w:p w:rsidR="00570DB2" w:rsidRPr="0028521C" w:rsidRDefault="00570DB2" w:rsidP="00570DB2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521C">
        <w:rPr>
          <w:rFonts w:ascii="Arial" w:hAnsi="Arial" w:cs="Arial"/>
          <w:sz w:val="24"/>
          <w:szCs w:val="24"/>
        </w:rPr>
        <w:t>La personne qui donne le traitement doit impérativement noter la dose, l’heure et son nom sur les transmissions</w:t>
      </w:r>
    </w:p>
    <w:p w:rsidR="00570DB2" w:rsidRPr="0028521C" w:rsidRDefault="00570DB2" w:rsidP="00570DB2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521C">
        <w:rPr>
          <w:rFonts w:ascii="Arial" w:hAnsi="Arial" w:cs="Arial"/>
          <w:sz w:val="24"/>
          <w:szCs w:val="24"/>
        </w:rPr>
        <w:t>Le soir redonner le traitement aux parents</w:t>
      </w:r>
    </w:p>
    <w:p w:rsidR="00570DB2" w:rsidRPr="00570DB2" w:rsidRDefault="00570DB2" w:rsidP="00570DB2">
      <w:pPr>
        <w:jc w:val="both"/>
        <w:rPr>
          <w:rFonts w:ascii="Ebrima" w:hAnsi="Ebrima"/>
          <w:sz w:val="24"/>
          <w:szCs w:val="24"/>
        </w:rPr>
      </w:pPr>
    </w:p>
    <w:p w:rsidR="00570DB2" w:rsidRPr="00570DB2" w:rsidRDefault="00570DB2" w:rsidP="00570DB2">
      <w:pPr>
        <w:jc w:val="both"/>
        <w:rPr>
          <w:rFonts w:ascii="Ebrima" w:hAnsi="Ebrima"/>
          <w:sz w:val="24"/>
          <w:szCs w:val="24"/>
        </w:rPr>
      </w:pPr>
    </w:p>
    <w:p w:rsidR="00B96E8A" w:rsidRDefault="00B96E8A"/>
    <w:sectPr w:rsidR="00B96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Fira Sans Black">
    <w:panose1 w:val="020B0A03050000020004"/>
    <w:charset w:val="00"/>
    <w:family w:val="swiss"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2D7EC4"/>
    <w:multiLevelType w:val="hybridMultilevel"/>
    <w:tmpl w:val="B34E4E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B2"/>
    <w:rsid w:val="0028521C"/>
    <w:rsid w:val="00532D10"/>
    <w:rsid w:val="0054492E"/>
    <w:rsid w:val="00570DB2"/>
    <w:rsid w:val="00B9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B740B-4B66-463F-A4FE-14AAED73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Charte graphique FRANCAS">
      <a:dk1>
        <a:sysClr val="windowText" lastClr="000000"/>
      </a:dk1>
      <a:lt1>
        <a:sysClr val="window" lastClr="FFFFFF"/>
      </a:lt1>
      <a:dk2>
        <a:srgbClr val="FEEE99"/>
      </a:dk2>
      <a:lt2>
        <a:srgbClr val="00B5E5"/>
      </a:lt2>
      <a:accent1>
        <a:srgbClr val="E84C05"/>
      </a:accent1>
      <a:accent2>
        <a:srgbClr val="F7A600"/>
      </a:accent2>
      <a:accent3>
        <a:srgbClr val="831F82"/>
      </a:accent3>
      <a:accent4>
        <a:srgbClr val="00ACA9"/>
      </a:accent4>
      <a:accent5>
        <a:srgbClr val="E7257E"/>
      </a:accent5>
      <a:accent6>
        <a:srgbClr val="C1D100"/>
      </a:accent6>
      <a:hlink>
        <a:srgbClr val="BF007F"/>
      </a:hlink>
      <a:folHlink>
        <a:srgbClr val="143D8C"/>
      </a:folHlink>
    </a:clrScheme>
    <a:fontScheme name="Personnalisé 1">
      <a:majorFont>
        <a:latin typeface="Fira Sans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dcterms:created xsi:type="dcterms:W3CDTF">2023-11-17T08:46:00Z</dcterms:created>
  <dcterms:modified xsi:type="dcterms:W3CDTF">2024-05-13T09:41:00Z</dcterms:modified>
</cp:coreProperties>
</file>